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Аннотация к рабочей программе учебного предмета «</w:t>
      </w:r>
      <w:r w:rsidR="00C529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 5-9 классы</w:t>
      </w:r>
    </w:p>
    <w:p w:rsidR="00914052" w:rsidRP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</w:t>
      </w:r>
      <w:r w:rsidR="00DA1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литературе</w:t>
      </w:r>
      <w:bookmarkStart w:id="0" w:name="_GoBack"/>
      <w:bookmarkEnd w:id="0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уровень основного общего образования для </w:t>
      </w:r>
      <w:proofErr w:type="gram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5–9-х классов МБОУ «Средняя школа № 18» разработана в соответствии с требованиями: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:rsid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приказа </w:t>
      </w:r>
      <w:proofErr w:type="spellStart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164393" w:rsidRPr="00164393" w:rsidRDefault="00164393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164393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164393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164393">
        <w:rPr>
          <w:rFonts w:ascii="Times New Roman" w:hAnsi="Times New Roman"/>
          <w:color w:val="000000"/>
          <w:sz w:val="24"/>
          <w:szCs w:val="24"/>
        </w:rPr>
        <w:t xml:space="preserve"> от 17.12.2010 № 1897 «Об утверждении федерального государственного образовательного стандарта основного общего образования»;</w:t>
      </w:r>
    </w:p>
    <w:p w:rsid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914052" w:rsidRPr="00914052" w:rsidRDefault="00914052" w:rsidP="00914052">
      <w:pPr>
        <w:pStyle w:val="ae"/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/>
          <w:color w:val="000000"/>
          <w:sz w:val="24"/>
          <w:szCs w:val="24"/>
        </w:rPr>
      </w:pPr>
      <w:r w:rsidRPr="00914052">
        <w:rPr>
          <w:rFonts w:ascii="Times New Roman" w:hAnsi="Times New Roman"/>
          <w:color w:val="000000"/>
          <w:sz w:val="24"/>
          <w:szCs w:val="24"/>
        </w:rPr>
        <w:t xml:space="preserve">приказа </w:t>
      </w:r>
      <w:proofErr w:type="spellStart"/>
      <w:r w:rsidRPr="00914052">
        <w:rPr>
          <w:rFonts w:ascii="Times New Roman" w:hAnsi="Times New Roman"/>
          <w:color w:val="000000"/>
          <w:sz w:val="24"/>
          <w:szCs w:val="24"/>
        </w:rPr>
        <w:t>Минпросвещения</w:t>
      </w:r>
      <w:proofErr w:type="spellEnd"/>
      <w:r w:rsidRPr="00914052">
        <w:rPr>
          <w:rFonts w:ascii="Times New Roman" w:hAnsi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концепции преподавания русского языка и литературы в Российской Федерации, утвержденной распоряжением Правительства от 09.04.2016 № 637-р;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учебного плана основного общего образования, утвержденного приказом МБОУ «Средняя школа № 18» от 31.08.2023 № 01-08/458 «Об утверждении основной образовательной программы основного общего образования»;</w:t>
      </w:r>
    </w:p>
    <w:p w:rsidR="00914052" w:rsidRPr="00914052" w:rsidRDefault="00914052" w:rsidP="0091405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рабочей программы по учебному предмету «</w:t>
      </w:r>
      <w:r w:rsidR="00234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Литература</w:t>
      </w: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914052" w:rsidRDefault="00914052" w:rsidP="0091405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C529B4" w:rsidRDefault="00914052" w:rsidP="00914052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соответствии с ФГОС ООО учебный предмет «</w:t>
      </w:r>
      <w:r w:rsidR="00C529B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Литература</w:t>
      </w:r>
      <w:r w:rsidRPr="00914052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» входит в предметную область «Русский язык и литература» и является обязательным для изучения. </w:t>
      </w:r>
      <w:r w:rsidR="00C529B4" w:rsidRPr="00C529B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C529B4" w:rsidRDefault="00C529B4" w:rsidP="00914052">
      <w:pPr>
        <w:spacing w:after="0" w:line="264" w:lineRule="auto"/>
        <w:ind w:firstLine="600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914052" w:rsidRDefault="00FD70C9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 w:rsidRPr="00FD70C9">
        <w:rPr>
          <w:rFonts w:ascii="Times New Roman" w:hAnsi="Times New Roman"/>
          <w:sz w:val="24"/>
          <w:szCs w:val="24"/>
        </w:rPr>
        <w:t>Рабочая программа ориентирована на использование учебников:</w:t>
      </w:r>
    </w:p>
    <w:p w:rsidR="00FD70C9" w:rsidRDefault="00C529B4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Литература</w:t>
      </w:r>
      <w:r w:rsidR="00FD70C9">
        <w:rPr>
          <w:rFonts w:ascii="Times New Roman" w:hAnsi="Times New Roman"/>
          <w:sz w:val="24"/>
          <w:szCs w:val="24"/>
        </w:rPr>
        <w:t xml:space="preserve"> 5 класс.</w:t>
      </w:r>
      <w:r w:rsidRPr="00C529B4">
        <w:t xml:space="preserve"> </w:t>
      </w:r>
      <w:r w:rsidRPr="00C529B4">
        <w:rPr>
          <w:rFonts w:ascii="Times New Roman" w:hAnsi="Times New Roman"/>
          <w:sz w:val="24"/>
          <w:szCs w:val="24"/>
        </w:rPr>
        <w:t>Коровина В.Я., Журавлев В.П., Коровин В.И.</w:t>
      </w:r>
    </w:p>
    <w:p w:rsidR="00FD70C9" w:rsidRDefault="00C529B4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  <w:r w:rsidR="00FD70C9">
        <w:rPr>
          <w:rFonts w:ascii="Times New Roman" w:hAnsi="Times New Roman"/>
          <w:sz w:val="24"/>
          <w:szCs w:val="24"/>
        </w:rPr>
        <w:t xml:space="preserve"> 6 класс.</w:t>
      </w:r>
      <w:r w:rsidR="00FD70C9" w:rsidRPr="00FD70C9">
        <w:t xml:space="preserve"> </w:t>
      </w:r>
      <w:proofErr w:type="spellStart"/>
      <w:r w:rsidRPr="00C529B4">
        <w:rPr>
          <w:rFonts w:ascii="Times New Roman" w:hAnsi="Times New Roman"/>
          <w:sz w:val="24"/>
          <w:szCs w:val="24"/>
        </w:rPr>
        <w:t>Меркин</w:t>
      </w:r>
      <w:proofErr w:type="spellEnd"/>
      <w:r w:rsidRPr="00C529B4">
        <w:rPr>
          <w:rFonts w:ascii="Times New Roman" w:hAnsi="Times New Roman"/>
          <w:sz w:val="24"/>
          <w:szCs w:val="24"/>
        </w:rPr>
        <w:t xml:space="preserve"> Г.С.</w:t>
      </w:r>
    </w:p>
    <w:p w:rsidR="00FD70C9" w:rsidRDefault="00C529B4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  <w:r w:rsidR="00FD70C9">
        <w:rPr>
          <w:rFonts w:ascii="Times New Roman" w:hAnsi="Times New Roman"/>
          <w:sz w:val="24"/>
          <w:szCs w:val="24"/>
        </w:rPr>
        <w:t xml:space="preserve"> 7 класс. </w:t>
      </w:r>
      <w:proofErr w:type="spellStart"/>
      <w:r w:rsidRPr="00C529B4">
        <w:rPr>
          <w:rFonts w:ascii="Times New Roman" w:hAnsi="Times New Roman"/>
          <w:sz w:val="24"/>
          <w:szCs w:val="24"/>
        </w:rPr>
        <w:t>Меркин</w:t>
      </w:r>
      <w:proofErr w:type="spellEnd"/>
      <w:r w:rsidRPr="00C529B4">
        <w:rPr>
          <w:rFonts w:ascii="Times New Roman" w:hAnsi="Times New Roman"/>
          <w:sz w:val="24"/>
          <w:szCs w:val="24"/>
        </w:rPr>
        <w:t xml:space="preserve"> Г.С.</w:t>
      </w:r>
    </w:p>
    <w:p w:rsidR="00FD70C9" w:rsidRDefault="00C529B4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  <w:r w:rsidR="00FD70C9">
        <w:rPr>
          <w:rFonts w:ascii="Times New Roman" w:hAnsi="Times New Roman"/>
          <w:sz w:val="24"/>
          <w:szCs w:val="24"/>
        </w:rPr>
        <w:t xml:space="preserve"> 8 класс.</w:t>
      </w:r>
      <w:r w:rsidRPr="00C529B4">
        <w:t xml:space="preserve"> </w:t>
      </w:r>
      <w:proofErr w:type="spellStart"/>
      <w:r w:rsidRPr="00C529B4">
        <w:rPr>
          <w:rFonts w:ascii="Times New Roman" w:hAnsi="Times New Roman"/>
          <w:sz w:val="24"/>
          <w:szCs w:val="24"/>
        </w:rPr>
        <w:t>Меркин</w:t>
      </w:r>
      <w:proofErr w:type="spellEnd"/>
      <w:r w:rsidRPr="00C529B4">
        <w:rPr>
          <w:rFonts w:ascii="Times New Roman" w:hAnsi="Times New Roman"/>
          <w:sz w:val="24"/>
          <w:szCs w:val="24"/>
        </w:rPr>
        <w:t xml:space="preserve"> Г.С.</w:t>
      </w:r>
    </w:p>
    <w:p w:rsidR="003F274F" w:rsidRDefault="00C529B4" w:rsidP="003F274F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  <w:r w:rsidR="00FD70C9">
        <w:rPr>
          <w:rFonts w:ascii="Times New Roman" w:hAnsi="Times New Roman"/>
          <w:sz w:val="24"/>
          <w:szCs w:val="24"/>
        </w:rPr>
        <w:t xml:space="preserve"> 9 класс. </w:t>
      </w:r>
      <w:proofErr w:type="spellStart"/>
      <w:r w:rsidRPr="00C529B4">
        <w:rPr>
          <w:rFonts w:ascii="Times New Roman" w:hAnsi="Times New Roman"/>
          <w:sz w:val="24"/>
          <w:szCs w:val="24"/>
        </w:rPr>
        <w:t>Меркин</w:t>
      </w:r>
      <w:proofErr w:type="spellEnd"/>
      <w:r w:rsidRPr="00C529B4">
        <w:rPr>
          <w:rFonts w:ascii="Times New Roman" w:hAnsi="Times New Roman"/>
          <w:sz w:val="24"/>
          <w:szCs w:val="24"/>
        </w:rPr>
        <w:t xml:space="preserve"> Г.С.</w:t>
      </w:r>
    </w:p>
    <w:p w:rsidR="00816FF8" w:rsidRDefault="00FD70C9" w:rsidP="00816FF8">
      <w:pPr>
        <w:pStyle w:val="ac"/>
        <w:ind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направлена на достижение</w:t>
      </w:r>
      <w:r w:rsidR="003F274F">
        <w:rPr>
          <w:rFonts w:ascii="Times New Roman" w:hAnsi="Times New Roman"/>
          <w:sz w:val="24"/>
          <w:szCs w:val="24"/>
        </w:rPr>
        <w:t xml:space="preserve"> личностных, метапредметных и предметных результатов в соответствии ФГОС ООО и ФОП ООО.</w:t>
      </w:r>
    </w:p>
    <w:p w:rsidR="00FD70C9" w:rsidRDefault="003F274F" w:rsidP="00816FF8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предмета «</w:t>
      </w:r>
      <w:r w:rsidR="00C529B4">
        <w:rPr>
          <w:rFonts w:ascii="Times New Roman" w:hAnsi="Times New Roman"/>
          <w:b/>
          <w:color w:val="000000"/>
          <w:sz w:val="24"/>
          <w:szCs w:val="24"/>
        </w:rPr>
        <w:t>Литература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>» 5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14060"/>
      </w:tblGrid>
      <w:tr w:rsidR="00EA68B8" w:rsidRPr="00EA68B8" w:rsidTr="00EA68B8">
        <w:trPr>
          <w:trHeight w:val="293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0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A68B8" w:rsidRPr="00EA68B8" w:rsidTr="00EA68B8">
        <w:trPr>
          <w:trHeight w:val="29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0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Мифология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Мифы народов России и мира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Фольклор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Малые жанры: пословицы, поговорки, загадки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Сказки народов России и народов мира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 С. Пушкин. Стихотворения (не менее трёх). «Зимнее утро», «Зимний вечер», «Няне» и др. «Сказка о мёртвой царевне и о семи богатырях».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М. Ю. Лермонтов. Стихотворение «Бородино»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Н. В. Гоголь. Повесть «Ночь перед Рождеством»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И. С. Тургенев. Рассказ «Муму»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Н. А. Некрасов. Стихотворения (не менее двух). «Крестьянские дети». «Школьник» и др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Поэма «Мороз, Красный нос» (фрагмент)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Л. Н. Толстой. Рассказ «Кавказский пленник»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XIX—ХХ веков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Стихотворения отечественных поэтов XIX—ХХ веков о родной природе и о связи человека с Родиной (не менее пяти). 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Юмористические рассказы отечественных писателей XIX—XX веков. А. П. Чехов (два рассказа по выбору)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апример, «Лошадиная фамилия», «Мальчики», «Хирургия» и др.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М.М.Зощенко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(два рассказа по выбору). Например, «Галоша», «Лёля и Минька», «Ёлка», «Золотые слова», «Встреча» и др.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 П. Платонов. Рассказы (один по выбору)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апример, «Корова», «Никита» и др.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В. П. Астафьев. Рассказ «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Васюткино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озеро»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6.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XX—XXI веков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К.М.Симонов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"Сын артиллериста" и др.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Произведения отечественных писателей XIX–XXI веков на тему детства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е менее двух), например, произведения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В.Г.Короленко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В. П. Катаева, В. П. Крапивина, Ю.П. Казакова, А. Г. Алексина, В. П. Астафьева, В. К.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Ю.Я.Яковлева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Ю. И. Коваля, А. А.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Гиваргизова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М. С.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Аромштам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Н.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Ю.Абгарян</w:t>
            </w:r>
            <w:proofErr w:type="spellEnd"/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Произведения приключенческого жанра отечественных писателей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дно по выбору). Например, К. Булычёв «Девочка, с которой ничего не случится», «Миллион приключений» и др. (главы по выбору)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Карим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«Эту песню мать мне пела»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Х. К. Андерсен. Сказки (одна по выбору). Например, «Снежная королева», «Соловей»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Зарубежная сказочная проза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дно произведение по выбору). Например,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Л.Кэрролл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. «Алиса в Стране Чудес» (главы);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Дж.Р.Р.Толкин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«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Хоббит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, или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уда и обратно» (главы) и др.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Зарубежная проза о детях и подростках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ва произведения по выбору). Например, М. Твен. «Приключения Тома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Сойера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» (главы); Дж. Лондон. «Сказание о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Кише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»; Р.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Брэдбери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Рассказы. Например, «Каникулы», «Звук бегущих ног», «Зелёное утро» и др.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Зарубежная приключенческая проза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ва произведения по выбору). Например, Р. Л. Стивенсон. «Остров сокровищ», «Чёрная стрела» (главы по выбору) и др.</w:t>
            </w:r>
          </w:p>
        </w:tc>
      </w:tr>
      <w:tr w:rsidR="00EA68B8" w:rsidRPr="00EA68B8" w:rsidTr="00EA68B8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4060" w:type="dxa"/>
            <w:tcMar>
              <w:top w:w="50" w:type="dxa"/>
              <w:left w:w="100" w:type="dxa"/>
            </w:tcMar>
            <w:vAlign w:val="center"/>
          </w:tcPr>
          <w:p w:rsidR="00EA68B8" w:rsidRPr="00EA68B8" w:rsidRDefault="00EA68B8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Зарубежная проза о животных. (одно-два произведения по выбору)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апример, Э. Сетон-Томпсон. «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Королевская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аналостанка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»; Дж. Даррелл. «Говорящий свёрток»; Дж. Лондон. «Белый Клык»; Дж. Р. Киплинг. «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Маугли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Рикки-Тикки-Тави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</w:tr>
    </w:tbl>
    <w:p w:rsidR="00816FF8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EA68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14131"/>
      </w:tblGrid>
      <w:tr w:rsidR="00D13524" w:rsidRPr="00EA68B8" w:rsidTr="00D13524">
        <w:trPr>
          <w:trHeight w:val="293"/>
          <w:tblCellSpacing w:w="20" w:type="nil"/>
        </w:trPr>
        <w:tc>
          <w:tcPr>
            <w:tcW w:w="9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13524" w:rsidRPr="00EA68B8" w:rsidTr="00D13524">
        <w:trPr>
          <w:trHeight w:val="29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1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Античная литература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Гомер. Поэмы «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Илиада»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Одиссея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 (фрагменты)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Фольклор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Былины (не менее двух). Например, «Илья Муромец и Соловей-разбойник», «Садко»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Народные песни и баллады народов России и мира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е менее трёх песен и одной баллады), «Песнь о Роланде» (фрагменты), «Песнь о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Нибелунгах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 (фрагменты), баллада «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Аника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-воин» и др.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 С. Пушкин. Стихотворения (не менее трёх). «Песнь о вещем Олеге», «Зимняя дорога», «Узник», «Туча» и др. Роман «Дубровский»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М. Ю. Лермонтов. Стихотворения (не менее трёх). «Три пальмы», «Листок», «Утёс» и др.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А. В. Кольцов. 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Стихотворения не менее двух).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«Косарь», «Соловей и др.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И. С. Тургенев. Рассказ «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Бежин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луг»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Н. С. Лесков. Сказ «Левша»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Л. Н. Толстой. Повесть «Детство» (главы)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 И. Куприн. Рассказ «Чудесный доктор»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6.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ХХ века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Стихотворения отечественных поэтов начала ХХ века. (не менее двух)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апример, стихотворения С. А. Есенина, В. В. 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Маяковского, А. А. Блока и др.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6.2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Стихотворения отечественных поэтов XX века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е менее четырёх стихотворений двух поэтов), Например, стихотворения О. Ф.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Берггольц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В. С. Высоцкого, Е. А. Евтушенко, А. С. Кушнера, Ю. Д.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Левитанского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Ю. П.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Мориц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, Б. Ш. Окуджавы, Д. С. Самойлова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Проза отечественных писателей конца XX — начала XXI века, в том числе о Великой Отечественной войне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ва произведения по выбору), Например, Б. Л. Васильев. «Экспонат №»; Б. П. Екимов. «Ночь исцеления»; А. В.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Жвалевский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и Е. Б. Пастернак. «Правдивая история Деда Мороза» (глава «Очень страшный 1942 Новый год» и др.)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В. Г. Распутин. Рассказ «Уроки 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Произведения отечественных писателей на тему взросления человека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е менее двух), Например, Р. П. Погодин. «Кирпичные острова»; Р. И.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Фраерман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«Дикая собака Динго, или Повесть о первой любви»; Ю. И. Коваль. «Самая лёгкая лодка в мире» и др.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Произведения современных отечественных писателей-фантастов. (не менее двух)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апример, А. В.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Жвалевский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и Е. Б. Пастернак. «Время всегда хорошее»; В. В.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Ледерман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. «Календарь </w:t>
            </w:r>
            <w:proofErr w:type="spell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й)я» и др.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Литература народов Российской Федерации. Стихотворения (два по выбору)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Зарубежная литература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Д. Дефо. «Робинзон Крузо» (главы по выбору)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Дж. Свифт. «Путешествия Гулливера» (главы по выбору)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Произведения зарубежных писателей на тему взросления человека. (не менее двух)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апример, Ж. Верн. «Дети капитана Гранта» (главы по выбору); Х. Ли. «Убить пересмешника» (главы по выбору) и др.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995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4131" w:type="dxa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Произведения современных зарубежных писателей-фантастов. (не менее двух)</w:t>
            </w:r>
            <w:proofErr w:type="gramStart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апример, Дж. К. Роулинг. «Гарри Поттер» (главы по выбору), Д. У. Джонс. «Дом с характером» и др.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D13524" w:rsidRPr="00EA68B8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EA68B8" w:rsidRDefault="00D13524" w:rsidP="00EA68B8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EA68B8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</w:tr>
    </w:tbl>
    <w:p w:rsidR="00816FF8" w:rsidRDefault="00816FF8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содержани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предмета «</w:t>
      </w:r>
      <w:r w:rsidR="00D13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3F27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14007"/>
      </w:tblGrid>
      <w:tr w:rsidR="00D13524" w:rsidRPr="00D13524" w:rsidTr="00D13524">
        <w:trPr>
          <w:trHeight w:val="293"/>
          <w:tblCellSpacing w:w="20" w:type="nil"/>
        </w:trPr>
        <w:tc>
          <w:tcPr>
            <w:tcW w:w="11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0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13524" w:rsidRPr="00D13524" w:rsidTr="00D13524">
        <w:trPr>
          <w:trHeight w:val="29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0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Древнерусские повести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дна повесть по выбору). Например, «Поучение» Владимира Мономаха (в сокращении)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 С. Пушкин. Стихотворения (не менее четырёх)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апример, «Во глубине сибирских руд…», «19 октября» («Роняет лес багряный свой убор…»), «И. И. Пущину», «На холмах Грузии лежит ночная мгла…» и др. «Повести Белкина» («Станционный смотритель» и др.). Поэма «Полтава» (фрагмент)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М. Ю. Лермонтов. Стихотворения (не менее четырёх). 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</w:t>
            </w:r>
            <w:proofErr w:type="gramEnd"/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Н. В. Гоголь. Повесть «Тарас Бульба»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И. С. Тургенев. Рассказы из цикла «Записки охотника» (два по выбору)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апример, «Бирюк», «Хорь и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Калиныч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 и др. Стихотворения в прозе. Например, «Русский язык», «Воробей»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Л. Н. Толстой. Рассказ «После бала»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Поэзия второй половины XIX века. Ф. И. Тютчев, А. А. Фет, А. К. Толстой и др. (не менее двух стихотворений по выбору)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М. Е. Салтыков-Щедрин. Сказки (две по выбору)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апример, «Повесть о том, как один мужик двух генералов прокормил», «Дикий помещик», «Премудрый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пискарь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е менее двух). Например, произведения А. К. Толстого, Р.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Сабатини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, Ф. Купера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конца XIX — начала XX века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 П. Чехов. Рассказы (один по выбору). Например, «Тоска», «Злоумышленник»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Изергиль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 (легенда о Данко), «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Челкаш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апример, М. М. Зощенко,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А.Т.Аверченко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, Н. Тэффи, О. Генри, Я. Гашека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первой половины XX века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Отечественная поэзия первой половины XX века. Стихотворения на тему мечты и реальности (два-три по выбору)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апример, стихотворения А. А. Блока, Н. С. Гумилёва, М. И. Цветаевой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5.4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М.А. Шолохов. «Донские рассказы» (один по выбору)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апример, «Родинка», «Чужая кровь»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 П. Платонов. Рассказы (один по выбору). Например, «Юшка», «Неизвестный цветок»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6.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второй половины XX века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В. М. Шукшин. Рассказы (один по выбору). Например, «Чудик», «Стенька Разин», «Критики»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Стихотворения отечественных поэтов XX—XXI веков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Ю. Д.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Левитанского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Произведения отечественных прозаиков второй половины XX — начала XXI века. (не менее двух)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апример, произведения Ф. А. Абрамова, В. П. Астафьева, В. И. Белова, Ф. А. Искандера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Тема взаимоотношения поколений, становления человека, выбора им жизненного пути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е менее двух произведений современных отечественных и зарубежных писателей). Например, Л. Л. Волкова «Всем выйти из кадра», Т. В. Михеева. «Лёгкие горы», У.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Старк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«Умеешь ли ты свистеть,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Йоханна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?»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Зарубежная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новеллистика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 (одно-два произведения по выбору). Например, П. Мериме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.«</w:t>
            </w:r>
            <w:proofErr w:type="spellStart"/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Маттео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Фальконе»; О. Генри. «Дары волхвов», «Последний лист».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119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14007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А. де </w:t>
            </w:r>
            <w:proofErr w:type="spellStart"/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Сент</w:t>
            </w:r>
            <w:proofErr w:type="spellEnd"/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Экзюпери. Повесть-сказка «Маленький принц»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</w:tr>
    </w:tbl>
    <w:p w:rsidR="00816FF8" w:rsidRDefault="000E5F29" w:rsidP="00816FF8">
      <w:pPr>
        <w:spacing w:before="100" w:beforeAutospacing="1" w:after="100" w:afterAutospacing="1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Тематический обзор содержания предмета «</w:t>
      </w:r>
      <w:r w:rsidR="00D135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Литература</w:t>
      </w:r>
      <w:r w:rsidRPr="000E5F2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8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4"/>
        <w:gridCol w:w="14092"/>
      </w:tblGrid>
      <w:tr w:rsidR="00D13524" w:rsidRPr="00D13524" w:rsidTr="00D13524">
        <w:trPr>
          <w:trHeight w:val="293"/>
          <w:tblCellSpacing w:w="20" w:type="nil"/>
        </w:trPr>
        <w:tc>
          <w:tcPr>
            <w:tcW w:w="10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0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13524" w:rsidRPr="00D13524" w:rsidTr="00D13524">
        <w:trPr>
          <w:trHeight w:val="29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0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XVIII века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Д. И. Фонвизин. Комедия «Недоросль»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Например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Моцарт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и Сальери», «Каменный гость». Роман «Капитанская дочка»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М. Ю. Лермонтов. Стихотворения (не менее двух)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апример, «Я не хочу, чтоб свет узнал…», «Из-под таинственной, холодной полумаски…», «Нищий» и др. Поэма «Мцыри»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Н. В. Гоголь. Повесть «Шинель», Комедия «Ревизор»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второй половины XIX века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И. С. Тургенев. Повести (одна по выбору). Например, «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Ася»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,«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Первая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любовь»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Ф. М. Достоевский. «Бедные люди», «Белые ночи» (одно произведение по выбору)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Л. Н. Толстой. Повести и рассказы (одно произведение по выбору). Например, «Отрочество» (главы)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5.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первой половины XX века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Произведения писателей русского зарубежья (не менее двух по выбору)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апример, произведения И. С.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Шмелёва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, М. А. Осоргина, В. В. Набокова, Н. Тэффи, А. Т. Аверченко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Поэзия первой половины ХХ века (не менее трёх стихотворений на тему «Человек и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эпоха»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, стихотворения В. В. Маяковского, М. И. Цветаевой, О. Э. Мандельштама, Б. Л. Пастернака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М. А. Булгаков (одна повесть по выбору). Например, «Собачье сердце»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6.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второй половины XX века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А. Т. Твардовский. 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Поэма «Василий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Тёркин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 (главы «Переправа», «Гармонь», «Два солдата», «Поединок» и др.)</w:t>
            </w:r>
            <w:proofErr w:type="gramEnd"/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А.Н. Толстой. Рассказ «Русский характер»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М. А. Шолохов. Рассказ «Судьба человека»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 И. Солженицын. Рассказ «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Матрёнин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двор»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Произведения отечественных прозаиков второй половины XX—XXI века (не менее двух)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апример, произведения Е. И. Носова, А. Н. и Б. Н. Стругацких, В. Ф. Тендрякова, Б. П. Екимова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Произведения отечественных и зарубежных прозаиков второй половины XX—XXI века (не менее двух произведений на тему «Человек в ситуации нравственного выбора»)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апример, произведения В. П. Астафьева, Ю. В. Бондарева, Н. С.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Дашевской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Дж. Сэлинджера, К.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Патерсон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, Б. Кауфман и др.)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Поэзия второй половины XX — начала XXI века (не менее трёх стихотворений)</w:t>
            </w:r>
            <w:proofErr w:type="gram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апример, стихотворения Н. А. Заболоцкого, М. А. Светлова,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М.В.Исаковского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К. М. Симонова, Р. Г. Гамзатова, Б. Ш. Окуджавы, В. С. Высоцкого,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А.А.Вознесенского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Е.А.Евтушенко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Р.И.Рождественского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И. А. Бродского, 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А.С.Кушнера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7.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3524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У. Шекспир. Сонеты (один-два по выбору). Например, № 66 «</w:t>
            </w:r>
            <w:proofErr w:type="spellStart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Измучась</w:t>
            </w:r>
            <w:proofErr w:type="spellEnd"/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всем, я умереть хочу…», № 130 «Её глаза на звёзды не </w:t>
            </w: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похожи…» и др. Трагедия «Ромео и Джульетта» (фрагменты по выбору).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034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7.2</w:t>
            </w:r>
          </w:p>
        </w:tc>
        <w:tc>
          <w:tcPr>
            <w:tcW w:w="14092" w:type="dxa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Ж.Б. Мольер. Комедия «Мещанин во дворянстве» (фрагменты по выбору)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D13524" w:rsidRPr="00D13524" w:rsidTr="00D13524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D13524" w:rsidRPr="00D13524" w:rsidRDefault="00D13524" w:rsidP="00D13524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D13524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</w:tr>
    </w:tbl>
    <w:p w:rsidR="003803CB" w:rsidRDefault="000E5F29" w:rsidP="000E5F2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5F29">
        <w:rPr>
          <w:rFonts w:ascii="Times New Roman" w:hAnsi="Times New Roman" w:cs="Times New Roman"/>
          <w:b/>
          <w:sz w:val="24"/>
          <w:szCs w:val="24"/>
        </w:rPr>
        <w:t>Тематический обзор содержания предмета «</w:t>
      </w:r>
      <w:r w:rsidR="00F0472E">
        <w:rPr>
          <w:rFonts w:ascii="Times New Roman" w:hAnsi="Times New Roman" w:cs="Times New Roman"/>
          <w:b/>
          <w:sz w:val="24"/>
          <w:szCs w:val="24"/>
        </w:rPr>
        <w:t>Литература</w:t>
      </w:r>
      <w:r w:rsidRPr="000E5F29">
        <w:rPr>
          <w:rFonts w:ascii="Times New Roman" w:hAnsi="Times New Roman" w:cs="Times New Roman"/>
          <w:b/>
          <w:sz w:val="24"/>
          <w:szCs w:val="24"/>
        </w:rPr>
        <w:t>» 9 класс</w:t>
      </w:r>
    </w:p>
    <w:tbl>
      <w:tblPr>
        <w:tblW w:w="15126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14080"/>
      </w:tblGrid>
      <w:tr w:rsidR="00F0472E" w:rsidRPr="00F0472E" w:rsidTr="00F0472E">
        <w:trPr>
          <w:trHeight w:val="293"/>
          <w:tblCellSpacing w:w="20" w:type="nil"/>
        </w:trPr>
        <w:tc>
          <w:tcPr>
            <w:tcW w:w="10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0472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0472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/п </w:t>
            </w:r>
          </w:p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 xml:space="preserve">Наименование разделов и тем программы </w:t>
            </w:r>
          </w:p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0472E" w:rsidRPr="00F0472E" w:rsidTr="00F0472E">
        <w:trPr>
          <w:trHeight w:val="293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  <w:tc>
          <w:tcPr>
            <w:tcW w:w="140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1.</w:t>
            </w: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72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Древнерусская литература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«Слово о полку Игореве»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2.</w:t>
            </w: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72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XVIII века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М. В. Ломоносов. «Ода на день восшествия на Всероссийский престол Ея Величества Государыни Императрицы </w:t>
            </w:r>
            <w:proofErr w:type="spell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Елисаветы</w:t>
            </w:r>
            <w:proofErr w:type="spell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Петровны 1747 года» и другие стихотворения (по выбору)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Г. Р. Державин. Стихотворения (два по выбору)</w:t>
            </w:r>
            <w:proofErr w:type="gram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апример, «Властителям и судиям», «Памятник» и др.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Н. М. Карамзин. Повесть «Бедная Лиза»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3.</w:t>
            </w: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72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Литература первой половины XIX века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В. А. Жуковский. Баллады, элегии</w:t>
            </w:r>
            <w:proofErr w:type="gram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дна-две по выбору). Например, «Светлана», «Невыразимое», «Море» и др.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А. С. Грибоедов. Комедия «Горе от ума»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Поэзия пушкинской эпохи. К. Н. Батюшков, А. А. </w:t>
            </w:r>
            <w:proofErr w:type="spell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Дельвиг</w:t>
            </w:r>
            <w:proofErr w:type="spell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Н.М.Языков</w:t>
            </w:r>
            <w:proofErr w:type="spell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, Е. А. Баратынский (не менее трёх стихотворений по выбору)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А. С. Пушкин. </w:t>
            </w:r>
            <w:proofErr w:type="spell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  <w:proofErr w:type="gram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</w:t>
            </w:r>
            <w:proofErr w:type="spell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, «Бесы», «Брожу ли я вдоль улиц шумных…», «...Вновь я посетил…», «Из </w:t>
            </w:r>
            <w:proofErr w:type="spell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Пиндемонти</w:t>
            </w:r>
            <w:proofErr w:type="spell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», «К морю», «К***» («Я помню чудное мгновенье…»), «Мадонна», «Осень» (отрывок), «Отцы-пустынники и жёны непорочны…», «Пора, мой друг, пора! </w:t>
            </w:r>
            <w:proofErr w:type="gram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Поэма «Медный всадник».</w:t>
            </w:r>
            <w:proofErr w:type="gram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Роман в стихах «Евгений Онегин»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М. Ю. Лермонтов. </w:t>
            </w:r>
            <w:proofErr w:type="spell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Стихотворения</w:t>
            </w:r>
            <w:proofErr w:type="gram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</w:t>
            </w:r>
            <w:proofErr w:type="spell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, «Выхожу один я на дорогу…», «Дума», «И скучно и грустно», «Как часто, пёстрою толпою окружён…», «Молитва» («Я, Матерь Божия, ныне с 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Роман «Герой нашего времени»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lastRenderedPageBreak/>
              <w:t>3.6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Н. В. Гоголь. Поэма «Мёртвые души»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Отечественная проза первой половины XIX в. (одно произведение по выбору)</w:t>
            </w:r>
            <w:proofErr w:type="gram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апример, «</w:t>
            </w:r>
            <w:proofErr w:type="spell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Лафертовская</w:t>
            </w:r>
            <w:proofErr w:type="spell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маковница</w:t>
            </w:r>
            <w:proofErr w:type="spellEnd"/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» Антония Погорельского, «Часы и зеркало» А. А. Бестужева-Марлинского, «Кто виноват?» (главы по выбору) А. И. Герцена и др.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Раздел 4.</w:t>
            </w: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472E">
              <w:rPr>
                <w:rFonts w:ascii="Times New Roman" w:eastAsiaTheme="minorEastAsia" w:hAnsi="Times New Roman"/>
                <w:b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Данте. «Божественная комедия» (не менее двух фрагментов по выбору)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У. Шекспир. Трагедия «Гамлет» (фрагменты по выбору)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И.В. Гёте. Трагедия «Фауст» (не менее двух фрагментов по выбору).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046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14080" w:type="dxa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Зарубежная проза первой половины XIX в. (одно произведение по выбору). Например, произведения Э. Т. А. Гофмана, В. Гюго, В. Скотта и др.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F0472E" w:rsidRPr="00F0472E" w:rsidTr="00F0472E">
        <w:trPr>
          <w:trHeight w:val="144"/>
          <w:tblCellSpacing w:w="20" w:type="nil"/>
        </w:trPr>
        <w:tc>
          <w:tcPr>
            <w:tcW w:w="15126" w:type="dxa"/>
            <w:gridSpan w:val="2"/>
            <w:tcMar>
              <w:top w:w="50" w:type="dxa"/>
              <w:left w:w="100" w:type="dxa"/>
            </w:tcMar>
            <w:vAlign w:val="center"/>
          </w:tcPr>
          <w:p w:rsidR="00F0472E" w:rsidRPr="00F0472E" w:rsidRDefault="00F0472E" w:rsidP="00F0472E">
            <w:pPr>
              <w:spacing w:after="0" w:line="240" w:lineRule="auto"/>
              <w:ind w:left="135" w:firstLine="360"/>
              <w:rPr>
                <w:rFonts w:eastAsiaTheme="minorEastAsia"/>
                <w:sz w:val="24"/>
                <w:szCs w:val="24"/>
                <w:lang w:eastAsia="ru-RU"/>
              </w:rPr>
            </w:pPr>
            <w:r w:rsidRPr="00F0472E">
              <w:rPr>
                <w:rFonts w:ascii="Times New Roman" w:eastAsiaTheme="minorEastAsia" w:hAnsi="Times New Roman"/>
                <w:color w:val="000000"/>
                <w:sz w:val="24"/>
                <w:szCs w:val="24"/>
                <w:lang w:eastAsia="ru-RU"/>
              </w:rPr>
              <w:t>Внеклассное чтение</w:t>
            </w:r>
          </w:p>
        </w:tc>
      </w:tr>
    </w:tbl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>
        <w:rPr>
          <w:rFonts w:ascii="Times New Roman" w:eastAsia="Calibri" w:hAnsi="Times New Roman" w:cs="Times New Roman"/>
          <w:sz w:val="24"/>
          <w:szCs w:val="24"/>
        </w:rPr>
        <w:t>Литература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D41" w:rsidRDefault="00BD0D41" w:rsidP="00D13A65">
      <w:pPr>
        <w:spacing w:after="0" w:line="240" w:lineRule="auto"/>
      </w:pPr>
      <w:r>
        <w:separator/>
      </w:r>
    </w:p>
  </w:endnote>
  <w:endnote w:type="continuationSeparator" w:id="0">
    <w:p w:rsidR="00BD0D41" w:rsidRDefault="00BD0D41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D41" w:rsidRDefault="00BD0D41" w:rsidP="00D13A65">
      <w:pPr>
        <w:spacing w:after="0" w:line="240" w:lineRule="auto"/>
      </w:pPr>
      <w:r>
        <w:separator/>
      </w:r>
    </w:p>
  </w:footnote>
  <w:footnote w:type="continuationSeparator" w:id="0">
    <w:p w:rsidR="00BD0D41" w:rsidRDefault="00BD0D41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8B8" w:rsidRPr="00D13A65" w:rsidRDefault="00EA68B8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EA68B8" w:rsidRDefault="00EA68B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19"/>
  </w:num>
  <w:num w:numId="4">
    <w:abstractNumId w:val="7"/>
  </w:num>
  <w:num w:numId="5">
    <w:abstractNumId w:val="1"/>
  </w:num>
  <w:num w:numId="6">
    <w:abstractNumId w:val="14"/>
  </w:num>
  <w:num w:numId="7">
    <w:abstractNumId w:val="2"/>
  </w:num>
  <w:num w:numId="8">
    <w:abstractNumId w:val="20"/>
  </w:num>
  <w:num w:numId="9">
    <w:abstractNumId w:val="10"/>
  </w:num>
  <w:num w:numId="10">
    <w:abstractNumId w:val="24"/>
  </w:num>
  <w:num w:numId="11">
    <w:abstractNumId w:val="3"/>
  </w:num>
  <w:num w:numId="12">
    <w:abstractNumId w:val="22"/>
  </w:num>
  <w:num w:numId="13">
    <w:abstractNumId w:val="25"/>
  </w:num>
  <w:num w:numId="14">
    <w:abstractNumId w:val="12"/>
  </w:num>
  <w:num w:numId="15">
    <w:abstractNumId w:val="18"/>
  </w:num>
  <w:num w:numId="16">
    <w:abstractNumId w:val="0"/>
  </w:num>
  <w:num w:numId="17">
    <w:abstractNumId w:val="27"/>
  </w:num>
  <w:num w:numId="18">
    <w:abstractNumId w:val="5"/>
  </w:num>
  <w:num w:numId="19">
    <w:abstractNumId w:val="8"/>
  </w:num>
  <w:num w:numId="20">
    <w:abstractNumId w:val="9"/>
  </w:num>
  <w:num w:numId="21">
    <w:abstractNumId w:val="11"/>
  </w:num>
  <w:num w:numId="22">
    <w:abstractNumId w:val="26"/>
  </w:num>
  <w:num w:numId="23">
    <w:abstractNumId w:val="16"/>
  </w:num>
  <w:num w:numId="24">
    <w:abstractNumId w:val="17"/>
  </w:num>
  <w:num w:numId="25">
    <w:abstractNumId w:val="21"/>
  </w:num>
  <w:num w:numId="26">
    <w:abstractNumId w:val="15"/>
  </w:num>
  <w:num w:numId="27">
    <w:abstractNumId w:val="6"/>
  </w:num>
  <w:num w:numId="28">
    <w:abstractNumId w:val="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D2C0A"/>
    <w:rsid w:val="000E5F29"/>
    <w:rsid w:val="00164393"/>
    <w:rsid w:val="001A0A90"/>
    <w:rsid w:val="001B7C6B"/>
    <w:rsid w:val="001E373B"/>
    <w:rsid w:val="00234125"/>
    <w:rsid w:val="00372052"/>
    <w:rsid w:val="003803CB"/>
    <w:rsid w:val="003F274F"/>
    <w:rsid w:val="004641F5"/>
    <w:rsid w:val="004903DD"/>
    <w:rsid w:val="00525685"/>
    <w:rsid w:val="00575C07"/>
    <w:rsid w:val="005D23D8"/>
    <w:rsid w:val="005F7591"/>
    <w:rsid w:val="00620A29"/>
    <w:rsid w:val="007E145A"/>
    <w:rsid w:val="00816FF8"/>
    <w:rsid w:val="0082412B"/>
    <w:rsid w:val="00914052"/>
    <w:rsid w:val="009B3BA0"/>
    <w:rsid w:val="009E2445"/>
    <w:rsid w:val="009E7724"/>
    <w:rsid w:val="00A475F9"/>
    <w:rsid w:val="00AE0763"/>
    <w:rsid w:val="00BD0D41"/>
    <w:rsid w:val="00C529B4"/>
    <w:rsid w:val="00C5399F"/>
    <w:rsid w:val="00D13524"/>
    <w:rsid w:val="00D13A65"/>
    <w:rsid w:val="00D2474E"/>
    <w:rsid w:val="00D40097"/>
    <w:rsid w:val="00DA1D4C"/>
    <w:rsid w:val="00E0263E"/>
    <w:rsid w:val="00E6514F"/>
    <w:rsid w:val="00E67655"/>
    <w:rsid w:val="00EA68B8"/>
    <w:rsid w:val="00EB5749"/>
    <w:rsid w:val="00ED0DDE"/>
    <w:rsid w:val="00EE2A2E"/>
    <w:rsid w:val="00F0163A"/>
    <w:rsid w:val="00F0472E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3011</Words>
  <Characters>17168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2023-11-04T05:59:00Z</dcterms:created>
  <dcterms:modified xsi:type="dcterms:W3CDTF">2023-11-06T07:04:00Z</dcterms:modified>
</cp:coreProperties>
</file>